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Learning and development management ETMG</w:t>
      </w:r>
    </w:p>
    <w:p>
      <w:r>
        <w:rPr>
          <w:rFonts w:ascii="Aptos" w:hAnsi="Aptos"/>
        </w:rPr>
        <w:t>Delivering management, advisory and administrative services to support the development of knowledge, skills and competencies.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the full range of professional, business or technical capabilities required by the organisation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learning and development strategies and policies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appropriate learning and development solutions, accreditations and qualifications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selecting, tailoring and adopting skills and competency frameworks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selecting and operating learning management systems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administering, documenting, tracking, reporting on learning and development activities.</w:t>
            </w:r>
          </w:p>
          <w:p/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Supports learning and development activities under routine supervision. </w:t>
        <w:br/>
        <w:t xml:space="preserve">Assists in maintaining training records and documenting learning and development activities. </w:t>
        <w:br/>
        <w:t>Helps organise learning events and track attendance.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Contributes to the maintenance of training records and the catalogue of learning and development resources.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Contributes to the development and maintenance of a catalogue of learning and development resources. </w:t>
        <w:br/>
        <w:t xml:space="preserve">Uses data to analyse and evaluate the effectiveness of learning/educational activities. </w:t>
        <w:br/>
        <w:t xml:space="preserve">Books and organises learning events. </w:t>
        <w:br/>
        <w:t>Updates and controls training records, including attainment of certificates and accreditations.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Manages the provision of learning and development, ensuring optimum use of resources. </w:t>
        <w:br/>
        <w:t xml:space="preserve">Maintains, publicises and promotes a catalogue of learning and development activities. Ensures that courses are up to date and accredited (when required). </w:t>
        <w:br/>
        <w:t xml:space="preserve">Arranges facilities and schedules with learning and development providers as appropriate. </w:t>
        <w:br/>
        <w:t>Uses data to assess and improve the effectiveness of learning or educational activities.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Determines the learning and development programme and delivery mechanisms needed to grow staff skills in line with business needs.</w:t>
        <w:br/>
        <w:t>Identifies appropriate accreditation and qualification paths applicable to individuals within the organisation.</w:t>
        <w:br/>
        <w:t xml:space="preserve">Evaluates learning outcomes. </w:t>
        <w:br/>
        <w:t>Manages the development and provision of all learning, taking account of the strategic aims of the employing organisation.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Directs the development and implementation of a learning and development strategy for the organisation aligned to business needs. </w:t>
        <w:br/>
        <w:t xml:space="preserve">Leads the provision of learning and development expertise, guidance and systems needed to execute strategic and operational plans. </w:t>
        <w:br/>
        <w:t xml:space="preserve">Secures organisational resources to execute the learning and development strategy. </w:t>
        <w:br/>
        <w:t>Identifies opportunities for strategic relationships with suppliers and partners.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